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управлению финансами компании</w:t>
            </w:r>
          </w:p>
          <w:p>
            <w:pPr>
              <w:jc w:val="center"/>
              <w:spacing w:after="0" w:line="240" w:lineRule="auto"/>
              <w:rPr>
                <w:sz w:val="32"/>
                <w:szCs w:val="32"/>
              </w:rPr>
            </w:pPr>
            <w:r>
              <w:rPr>
                <w:rFonts w:ascii="Times New Roman" w:hAnsi="Times New Roman" w:cs="Times New Roman"/>
                <w:color w:val="#000000"/>
                <w:sz w:val="32"/>
                <w:szCs w:val="32"/>
              </w:rPr>
              <w:t> Б1.В.09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финансами компании»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Б1.В.09 «Практикум по управлению финансами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управлению финансами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принципы и методы обеспечения устойчивого развития организации и социальной ответственности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национальные и международные стандарты, лучшие практики интегрированного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адаптировать теорию и практику риск-менеджмента к условиям конкретной фирмы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Б1.В.09 «Практикум по управлению финансами компании»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системы в области финансовых вычислений</w:t>
            </w:r>
          </w:p>
          <w:p>
            <w:pPr>
              <w:jc w:val="center"/>
              <w:spacing w:after="0" w:line="240" w:lineRule="auto"/>
              <w:rPr>
                <w:sz w:val="22"/>
                <w:szCs w:val="22"/>
              </w:rPr>
            </w:pPr>
            <w:r>
              <w:rPr>
                <w:rFonts w:ascii="Times New Roman" w:hAnsi="Times New Roman" w:cs="Times New Roman"/>
                <w:color w:val="#000000"/>
                <w:sz w:val="22"/>
                <w:szCs w:val="22"/>
              </w:rPr>
              <w:t>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 кредитные институты</w:t>
            </w:r>
          </w:p>
          <w:p>
            <w:pPr>
              <w:jc w:val="center"/>
              <w:spacing w:after="0" w:line="240" w:lineRule="auto"/>
              <w:rPr>
                <w:sz w:val="22"/>
                <w:szCs w:val="22"/>
              </w:rPr>
            </w:pPr>
            <w:r>
              <w:rPr>
                <w:rFonts w:ascii="Times New Roman" w:hAnsi="Times New Roman" w:cs="Times New Roman"/>
                <w:color w:val="#000000"/>
                <w:sz w:val="22"/>
                <w:szCs w:val="22"/>
              </w:rPr>
              <w:t> Финансовый инжиниринг</w:t>
            </w:r>
          </w:p>
          <w:p>
            <w:pPr>
              <w:jc w:val="center"/>
              <w:spacing w:after="0" w:line="240" w:lineRule="auto"/>
              <w:rPr>
                <w:sz w:val="22"/>
                <w:szCs w:val="22"/>
              </w:rPr>
            </w:pPr>
            <w:r>
              <w:rPr>
                <w:rFonts w:ascii="Times New Roman" w:hAnsi="Times New Roman" w:cs="Times New Roman"/>
                <w:color w:val="#000000"/>
                <w:sz w:val="22"/>
                <w:szCs w:val="22"/>
              </w:rPr>
              <w:t> Анализ и управление инвестициями</w:t>
            </w:r>
          </w:p>
          <w:p>
            <w:pPr>
              <w:jc w:val="center"/>
              <w:spacing w:after="0" w:line="240" w:lineRule="auto"/>
              <w:rPr>
                <w:sz w:val="22"/>
                <w:szCs w:val="22"/>
              </w:rPr>
            </w:pPr>
            <w:r>
              <w:rPr>
                <w:rFonts w:ascii="Times New Roman" w:hAnsi="Times New Roman" w:cs="Times New Roman"/>
                <w:color w:val="#000000"/>
                <w:sz w:val="22"/>
                <w:szCs w:val="22"/>
              </w:rPr>
              <w:t> Инвестиции</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Модуль "Финансовое планирование и инвестиционный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Содержание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2.Финансовая политика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6.Финансовая стратегия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7.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8 .Управление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9. Управление финансовыми результатами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10. Проведение "круглого стола" по проблеме управление финансами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Содержание корпоративных финансов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2.Финансовая политика компании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Финансовый рынок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4.Государственные финансы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5.Бюджетная система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6.Финансовая стратегия компании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7. Финансовый контроль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8 .Управление денежными потоками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9. Управление финансовыми результатами компании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10. Проведение "круглого стола" по проблеме управление финансами компании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управлению финансами компании»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результатами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Мокропуло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Строгонова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http://www.iprbookshop.ru/67215.html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финансово-хозяйственной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Чайковская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http://www.iprbookshop.ru/83260.html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эффективности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Жагловская,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Рожкова,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эффективности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http://www.iprbookshop.ru/97910.html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Кеменов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оказаться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Джон</w:t>
            </w:r>
            <w:r>
              <w:rPr/>
              <w:t xml:space="preserve"> </w:t>
            </w:r>
            <w:r>
              <w:rPr>
                <w:rFonts w:ascii="Times New Roman" w:hAnsi="Times New Roman" w:cs="Times New Roman"/>
                <w:color w:val="#000000"/>
                <w:sz w:val="24"/>
                <w:szCs w:val="24"/>
              </w:rPr>
              <w:t>Теннент,</w:t>
            </w:r>
            <w:r>
              <w:rPr/>
              <w:t xml:space="preserve"> </w:t>
            </w:r>
            <w:r>
              <w:rPr>
                <w:rFonts w:ascii="Times New Roman" w:hAnsi="Times New Roman" w:cs="Times New Roman"/>
                <w:color w:val="#000000"/>
                <w:sz w:val="24"/>
                <w:szCs w:val="24"/>
              </w:rPr>
              <w:t>Оверченко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оказаться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http://www.iprbookshop.ru/86738.html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9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6.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2023-2024_ФГОС3++2023_Маг-ОФО-ФиК(УФиИ)(23)_plx_Практикум по управлению финансами компании</dc:title>
  <dc:creator>FastReport.NET</dc:creator>
</cp:coreProperties>
</file>